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01">
      <w:pPr>
        <w:contextualSpacing w:val="0"/>
        <w:rPr>
          <w:rFonts w:ascii="Titillium Web" w:cs="Titillium Web" w:eastAsia="Titillium Web" w:hAnsi="Titillium Web"/>
          <w:b w:val="1"/>
          <w:color w:val="999999"/>
          <w:sz w:val="40"/>
          <w:szCs w:val="40"/>
        </w:rPr>
      </w:pPr>
      <w:r w:rsidDel="00000000" w:rsidR="00000000" w:rsidRPr="00000000">
        <w:rPr>
          <w:rFonts w:ascii="Titillium Web" w:cs="Titillium Web" w:eastAsia="Titillium Web" w:hAnsi="Titillium Web"/>
          <w:b w:val="1"/>
          <w:color w:val="999999"/>
          <w:sz w:val="40"/>
          <w:szCs w:val="40"/>
          <w:rtl w:val="0"/>
        </w:rPr>
        <w:t xml:space="preserve">Document informatie</w:t>
      </w:r>
    </w:p>
    <w:p w:rsidR="00000000" w:rsidDel="00000000" w:rsidP="00000000" w:rsidRDefault="00000000" w:rsidRPr="00000000" w14:paraId="00000002">
      <w:pPr>
        <w:contextualSpacing w:val="0"/>
        <w:rPr>
          <w:b w:val="1"/>
        </w:rPr>
      </w:pPr>
      <w:r w:rsidDel="00000000" w:rsidR="00000000" w:rsidRPr="00000000">
        <w:rPr>
          <w:rtl w:val="0"/>
        </w:rPr>
      </w:r>
    </w:p>
    <w:p w:rsidR="00000000" w:rsidDel="00000000" w:rsidP="00000000" w:rsidRDefault="00000000" w:rsidRPr="00000000" w14:paraId="00000003">
      <w:pPr>
        <w:contextualSpacing w:val="0"/>
        <w:rPr>
          <w:color w:val="999999"/>
        </w:rPr>
      </w:pPr>
      <w:r w:rsidDel="00000000" w:rsidR="00000000" w:rsidRPr="00000000">
        <w:rPr>
          <w:rFonts w:ascii="Titillium Web" w:cs="Titillium Web" w:eastAsia="Titillium Web" w:hAnsi="Titillium Web"/>
          <w:color w:val="999999"/>
          <w:sz w:val="32"/>
          <w:szCs w:val="32"/>
          <w:rtl w:val="0"/>
        </w:rPr>
        <w:t xml:space="preserve">Algemeen</w:t>
      </w: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e88506"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contextualSpacing w:val="0"/>
              <w:rPr>
                <w:b w:val="1"/>
                <w:color w:val="ffffff"/>
              </w:rPr>
            </w:pPr>
            <w:r w:rsidDel="00000000" w:rsidR="00000000" w:rsidRPr="00000000">
              <w:rPr>
                <w:b w:val="1"/>
                <w:color w:val="ffffff"/>
                <w:rtl w:val="0"/>
              </w:rPr>
              <w:t xml:space="preserve">Attribuut</w:t>
            </w:r>
          </w:p>
        </w:tc>
        <w:tc>
          <w:tcPr>
            <w:shd w:fill="e88506"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contextualSpacing w:val="0"/>
              <w:rPr>
                <w:b w:val="1"/>
                <w:color w:val="ffffff"/>
              </w:rPr>
            </w:pPr>
            <w:r w:rsidDel="00000000" w:rsidR="00000000" w:rsidRPr="00000000">
              <w:rPr>
                <w:b w:val="1"/>
                <w:color w:val="ffffff"/>
                <w:rtl w:val="0"/>
              </w:rPr>
              <w:t xml:space="preserve">Waarde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contextualSpacing w:val="0"/>
              <w:rPr>
                <w:sz w:val="18"/>
                <w:szCs w:val="18"/>
              </w:rPr>
            </w:pPr>
            <w:r w:rsidDel="00000000" w:rsidR="00000000" w:rsidRPr="00000000">
              <w:rPr>
                <w:sz w:val="18"/>
                <w:szCs w:val="18"/>
                <w:rtl w:val="0"/>
              </w:rPr>
              <w:t xml:space="preserve">Datum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contextualSpacing w:val="0"/>
              <w:rPr>
                <w:sz w:val="18"/>
                <w:szCs w:val="18"/>
              </w:rPr>
            </w:pPr>
            <w:r w:rsidDel="00000000" w:rsidR="00000000" w:rsidRPr="00000000">
              <w:rPr>
                <w:sz w:val="18"/>
                <w:szCs w:val="18"/>
                <w:rtl w:val="0"/>
              </w:rPr>
              <w:t xml:space="preserve">09/04/2018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contextualSpacing w:val="0"/>
              <w:rPr>
                <w:sz w:val="18"/>
                <w:szCs w:val="18"/>
              </w:rPr>
            </w:pPr>
            <w:r w:rsidDel="00000000" w:rsidR="00000000" w:rsidRPr="00000000">
              <w:rPr>
                <w:sz w:val="18"/>
                <w:szCs w:val="18"/>
                <w:rtl w:val="0"/>
              </w:rPr>
              <w:t xml:space="preserve">Versie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contextualSpacing w:val="0"/>
              <w:rPr>
                <w:sz w:val="18"/>
                <w:szCs w:val="18"/>
              </w:rPr>
            </w:pPr>
            <w:r w:rsidDel="00000000" w:rsidR="00000000" w:rsidRPr="00000000">
              <w:rPr>
                <w:sz w:val="18"/>
                <w:szCs w:val="18"/>
                <w:rtl w:val="0"/>
              </w:rPr>
              <w:t xml:space="preserv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contextualSpacing w:val="0"/>
              <w:rPr>
                <w:sz w:val="18"/>
                <w:szCs w:val="18"/>
              </w:rPr>
            </w:pPr>
            <w:r w:rsidDel="00000000" w:rsidR="00000000" w:rsidRPr="00000000">
              <w:rPr>
                <w:sz w:val="18"/>
                <w:szCs w:val="18"/>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contextualSpacing w:val="0"/>
              <w:rPr>
                <w:sz w:val="18"/>
                <w:szCs w:val="18"/>
              </w:rPr>
            </w:pPr>
            <w:r w:rsidDel="00000000" w:rsidR="00000000" w:rsidRPr="00000000">
              <w:rPr>
                <w:sz w:val="18"/>
                <w:szCs w:val="18"/>
                <w:rtl w:val="0"/>
              </w:rPr>
              <w:t xml:space="preserve">Concept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contextualSpacing w:val="0"/>
              <w:rPr>
                <w:sz w:val="18"/>
                <w:szCs w:val="18"/>
              </w:rPr>
            </w:pPr>
            <w:r w:rsidDel="00000000" w:rsidR="00000000" w:rsidRPr="00000000">
              <w:rPr>
                <w:sz w:val="18"/>
                <w:szCs w:val="18"/>
                <w:rtl w:val="0"/>
              </w:rPr>
              <w:t xml:space="preserve">Auteur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contextualSpacing w:val="0"/>
              <w:rPr>
                <w:sz w:val="18"/>
                <w:szCs w:val="18"/>
              </w:rPr>
            </w:pPr>
            <w:r w:rsidDel="00000000" w:rsidR="00000000" w:rsidRPr="00000000">
              <w:rPr>
                <w:sz w:val="18"/>
                <w:szCs w:val="18"/>
                <w:rtl w:val="0"/>
              </w:rPr>
              <w:t xml:space="preserve">S64.3</w:t>
            </w:r>
          </w:p>
        </w:tc>
      </w:tr>
    </w:tbl>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color w:val="999999"/>
        </w:rPr>
      </w:pPr>
      <w:r w:rsidDel="00000000" w:rsidR="00000000" w:rsidRPr="00000000">
        <w:rPr>
          <w:rFonts w:ascii="Titillium Web" w:cs="Titillium Web" w:eastAsia="Titillium Web" w:hAnsi="Titillium Web"/>
          <w:color w:val="999999"/>
          <w:sz w:val="32"/>
          <w:szCs w:val="32"/>
          <w:rtl w:val="0"/>
        </w:rPr>
        <w:t xml:space="preserve">Versie</w:t>
      </w: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005"/>
        <w:gridCol w:w="2070"/>
        <w:gridCol w:w="3990"/>
        <w:gridCol w:w="1065"/>
        <w:tblGridChange w:id="0">
          <w:tblGrid>
            <w:gridCol w:w="885"/>
            <w:gridCol w:w="1005"/>
            <w:gridCol w:w="2070"/>
            <w:gridCol w:w="3990"/>
            <w:gridCol w:w="1065"/>
          </w:tblGrid>
        </w:tblGridChange>
      </w:tblGrid>
      <w:tr>
        <w:tc>
          <w:tcPr>
            <w:shd w:fill="e88506"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contextualSpacing w:val="0"/>
              <w:rPr>
                <w:b w:val="1"/>
                <w:color w:val="ffffff"/>
              </w:rPr>
            </w:pPr>
            <w:r w:rsidDel="00000000" w:rsidR="00000000" w:rsidRPr="00000000">
              <w:rPr>
                <w:b w:val="1"/>
                <w:color w:val="ffffff"/>
                <w:rtl w:val="0"/>
              </w:rPr>
              <w:t xml:space="preserve">Versie</w:t>
            </w:r>
          </w:p>
        </w:tc>
        <w:tc>
          <w:tcPr>
            <w:shd w:fill="e88506"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contextualSpacing w:val="0"/>
              <w:rPr>
                <w:b w:val="1"/>
                <w:color w:val="ffffff"/>
              </w:rPr>
            </w:pPr>
            <w:r w:rsidDel="00000000" w:rsidR="00000000" w:rsidRPr="00000000">
              <w:rPr>
                <w:b w:val="1"/>
                <w:color w:val="ffffff"/>
                <w:rtl w:val="0"/>
              </w:rPr>
              <w:t xml:space="preserve">Datum</w:t>
            </w:r>
          </w:p>
        </w:tc>
        <w:tc>
          <w:tcPr>
            <w:shd w:fill="e88506"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contextualSpacing w:val="0"/>
              <w:rPr>
                <w:b w:val="1"/>
                <w:color w:val="ffffff"/>
              </w:rPr>
            </w:pPr>
            <w:r w:rsidDel="00000000" w:rsidR="00000000" w:rsidRPr="00000000">
              <w:rPr>
                <w:b w:val="1"/>
                <w:color w:val="ffffff"/>
                <w:rtl w:val="0"/>
              </w:rPr>
              <w:t xml:space="preserve">Auteur</w:t>
            </w:r>
          </w:p>
        </w:tc>
        <w:tc>
          <w:tcPr>
            <w:shd w:fill="e88506"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contextualSpacing w:val="0"/>
              <w:rPr>
                <w:b w:val="1"/>
                <w:color w:val="ffffff"/>
              </w:rPr>
            </w:pPr>
            <w:r w:rsidDel="00000000" w:rsidR="00000000" w:rsidRPr="00000000">
              <w:rPr>
                <w:b w:val="1"/>
                <w:color w:val="ffffff"/>
                <w:rtl w:val="0"/>
              </w:rPr>
              <w:t xml:space="preserve">Wijzigingen</w:t>
            </w:r>
          </w:p>
        </w:tc>
        <w:tc>
          <w:tcPr>
            <w:shd w:fill="e88506"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contextualSpacing w:val="0"/>
              <w:rPr>
                <w:b w:val="1"/>
                <w:color w:val="ffffff"/>
              </w:rPr>
            </w:pPr>
            <w:r w:rsidDel="00000000" w:rsidR="00000000" w:rsidRPr="00000000">
              <w:rPr>
                <w:b w:val="1"/>
                <w:color w:val="ffffff"/>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contextualSpacing w:val="0"/>
              <w:rPr>
                <w:sz w:val="18"/>
                <w:szCs w:val="18"/>
              </w:rPr>
            </w:pPr>
            <w:r w:rsidDel="00000000" w:rsidR="00000000" w:rsidRPr="00000000">
              <w:rPr>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contextualSpacing w:val="0"/>
              <w:rPr>
                <w:sz w:val="18"/>
                <w:szCs w:val="18"/>
              </w:rPr>
            </w:pPr>
            <w:r w:rsidDel="00000000" w:rsidR="00000000" w:rsidRPr="00000000">
              <w:rPr>
                <w:sz w:val="18"/>
                <w:szCs w:val="18"/>
                <w:rtl w:val="0"/>
              </w:rPr>
              <w:t xml:space="preserve">09/04/2018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contextualSpacing w:val="0"/>
              <w:rPr>
                <w:sz w:val="18"/>
                <w:szCs w:val="18"/>
              </w:rPr>
            </w:pPr>
            <w:r w:rsidDel="00000000" w:rsidR="00000000" w:rsidRPr="00000000">
              <w:rPr>
                <w:sz w:val="18"/>
                <w:szCs w:val="18"/>
                <w:rtl w:val="0"/>
              </w:rPr>
              <w:t xml:space="preserve">S64.3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contextualSpacing w:val="0"/>
              <w:rPr>
                <w:sz w:val="18"/>
                <w:szCs w:val="18"/>
              </w:rPr>
            </w:pPr>
            <w:r w:rsidDel="00000000" w:rsidR="00000000" w:rsidRPr="00000000">
              <w:rPr>
                <w:sz w:val="18"/>
                <w:szCs w:val="18"/>
                <w:rtl w:val="0"/>
              </w:rPr>
              <w:t xml:space="preserve">Initiële opzet.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contextualSpacing w:val="0"/>
              <w:rPr>
                <w:sz w:val="18"/>
                <w:szCs w:val="18"/>
              </w:rPr>
            </w:pPr>
            <w:r w:rsidDel="00000000" w:rsidR="00000000" w:rsidRPr="00000000">
              <w:rPr>
                <w:sz w:val="18"/>
                <w:szCs w:val="18"/>
                <w:rtl w:val="0"/>
              </w:rPr>
              <w:t xml:space="preserve">Concept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contextualSpacing w:val="0"/>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contextualSpacing w:val="0"/>
              <w:rPr>
                <w:sz w:val="18"/>
                <w:szCs w:val="18"/>
              </w:rPr>
            </w:pPr>
            <w:r w:rsidDel="00000000" w:rsidR="00000000" w:rsidRPr="00000000">
              <w:rPr>
                <w:rtl w:val="0"/>
              </w:rPr>
            </w:r>
          </w:p>
        </w:tc>
      </w:tr>
    </w:tbl>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color w:val="999999"/>
        </w:rPr>
      </w:pPr>
      <w:r w:rsidDel="00000000" w:rsidR="00000000" w:rsidRPr="00000000">
        <w:rPr>
          <w:rFonts w:ascii="Titillium Web" w:cs="Titillium Web" w:eastAsia="Titillium Web" w:hAnsi="Titillium Web"/>
          <w:color w:val="999999"/>
          <w:sz w:val="32"/>
          <w:szCs w:val="32"/>
          <w:rtl w:val="0"/>
        </w:rPr>
        <w:t xml:space="preserve">Verspreiding</w:t>
      </w:r>
      <w:r w:rsidDel="00000000" w:rsidR="00000000" w:rsidRPr="00000000">
        <w:rPr>
          <w:rtl w:val="0"/>
        </w:rPr>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990"/>
        <w:gridCol w:w="7125"/>
        <w:tblGridChange w:id="0">
          <w:tblGrid>
            <w:gridCol w:w="900"/>
            <w:gridCol w:w="990"/>
            <w:gridCol w:w="7125"/>
          </w:tblGrid>
        </w:tblGridChange>
      </w:tblGrid>
      <w:tr>
        <w:tc>
          <w:tcPr>
            <w:shd w:fill="e88506"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contextualSpacing w:val="0"/>
              <w:rPr>
                <w:b w:val="1"/>
                <w:color w:val="ffffff"/>
              </w:rPr>
            </w:pPr>
            <w:r w:rsidDel="00000000" w:rsidR="00000000" w:rsidRPr="00000000">
              <w:rPr>
                <w:b w:val="1"/>
                <w:color w:val="ffffff"/>
                <w:rtl w:val="0"/>
              </w:rPr>
              <w:t xml:space="preserve">Versie</w:t>
            </w:r>
          </w:p>
        </w:tc>
        <w:tc>
          <w:tcPr>
            <w:shd w:fill="e88506"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contextualSpacing w:val="0"/>
              <w:rPr>
                <w:b w:val="1"/>
                <w:color w:val="ffffff"/>
              </w:rPr>
            </w:pPr>
            <w:r w:rsidDel="00000000" w:rsidR="00000000" w:rsidRPr="00000000">
              <w:rPr>
                <w:b w:val="1"/>
                <w:color w:val="ffffff"/>
                <w:rtl w:val="0"/>
              </w:rPr>
              <w:t xml:space="preserve">Datum</w:t>
            </w:r>
          </w:p>
        </w:tc>
        <w:tc>
          <w:tcPr>
            <w:shd w:fill="e88506"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contextualSpacing w:val="0"/>
              <w:rPr>
                <w:b w:val="1"/>
                <w:color w:val="ffffff"/>
              </w:rPr>
            </w:pPr>
            <w:r w:rsidDel="00000000" w:rsidR="00000000" w:rsidRPr="00000000">
              <w:rPr>
                <w:b w:val="1"/>
                <w:color w:val="ffffff"/>
                <w:rtl w:val="0"/>
              </w:rPr>
              <w:t xml:space="preserve">Aan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contextualSpacing w:val="0"/>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contextualSpacing w:val="0"/>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contextualSpacing w:val="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contextualSpacing w:val="0"/>
              <w:rPr>
                <w:sz w:val="18"/>
                <w:szCs w:val="18"/>
              </w:rPr>
            </w:pPr>
            <w:r w:rsidDel="00000000" w:rsidR="00000000" w:rsidRPr="00000000">
              <w:rPr>
                <w:rtl w:val="0"/>
              </w:rPr>
            </w:r>
          </w:p>
        </w:tc>
      </w:tr>
    </w:tbl>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Fonts w:ascii="Titillium Web" w:cs="Titillium Web" w:eastAsia="Titillium Web" w:hAnsi="Titillium Web"/>
          <w:color w:val="999999"/>
          <w:sz w:val="32"/>
          <w:szCs w:val="32"/>
          <w:rtl w:val="0"/>
        </w:rPr>
        <w:t xml:space="preserve">Overige metagegevens</w:t>
      </w: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c>
          <w:tcPr>
            <w:shd w:fill="e88506"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contextualSpacing w:val="0"/>
              <w:rPr>
                <w:b w:val="1"/>
                <w:color w:val="ffffff"/>
              </w:rPr>
            </w:pPr>
            <w:r w:rsidDel="00000000" w:rsidR="00000000" w:rsidRPr="00000000">
              <w:rPr>
                <w:b w:val="1"/>
                <w:color w:val="ffffff"/>
                <w:rtl w:val="0"/>
              </w:rPr>
              <w:t xml:space="preserve">Attribuut</w:t>
            </w:r>
          </w:p>
        </w:tc>
        <w:tc>
          <w:tcPr>
            <w:shd w:fill="e88506"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contextualSpacing w:val="0"/>
              <w:rPr>
                <w:b w:val="1"/>
                <w:color w:val="ffffff"/>
              </w:rPr>
            </w:pPr>
            <w:r w:rsidDel="00000000" w:rsidR="00000000" w:rsidRPr="00000000">
              <w:rPr>
                <w:b w:val="1"/>
                <w:color w:val="ffffff"/>
                <w:rtl w:val="0"/>
              </w:rPr>
              <w:t xml:space="preserve">Waarde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contextualSpacing w:val="0"/>
              <w:rPr>
                <w:sz w:val="18"/>
                <w:szCs w:val="18"/>
              </w:rPr>
            </w:pPr>
            <w:r w:rsidDel="00000000" w:rsidR="00000000" w:rsidRPr="00000000">
              <w:rPr>
                <w:sz w:val="18"/>
                <w:szCs w:val="18"/>
                <w:rtl w:val="0"/>
              </w:rPr>
              <w:t xml:space="preserve">Opdrachtgever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contextualSpacing w:val="0"/>
              <w:rPr>
                <w:sz w:val="18"/>
                <w:szCs w:val="18"/>
              </w:rPr>
            </w:pPr>
            <w:r w:rsidDel="00000000" w:rsidR="00000000" w:rsidRPr="00000000">
              <w:rPr>
                <w:sz w:val="18"/>
                <w:szCs w:val="18"/>
                <w:rtl w:val="0"/>
              </w:rPr>
              <w:t xml:space="preserve">Kevin Donkers (Ordina)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contextualSpacing w:val="0"/>
              <w:rPr>
                <w:sz w:val="18"/>
                <w:szCs w:val="18"/>
              </w:rPr>
            </w:pPr>
            <w:r w:rsidDel="00000000" w:rsidR="00000000" w:rsidRPr="00000000">
              <w:rPr>
                <w:sz w:val="18"/>
                <w:szCs w:val="18"/>
                <w:rtl w:val="0"/>
              </w:rPr>
              <w:t xml:space="preserve">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contextualSpacing w:val="0"/>
              <w:rPr>
                <w:sz w:val="18"/>
                <w:szCs w:val="18"/>
              </w:rPr>
            </w:pPr>
            <w:r w:rsidDel="00000000" w:rsidR="00000000" w:rsidRPr="00000000">
              <w:rPr>
                <w:sz w:val="18"/>
                <w:szCs w:val="18"/>
                <w:rtl w:val="0"/>
              </w:rPr>
              <w:t xml:space="preserve">Jeffrey Cornelissen (Fontys)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contextualSpacing w:val="0"/>
              <w:rPr>
                <w:sz w:val="18"/>
                <w:szCs w:val="18"/>
              </w:rPr>
            </w:pPr>
            <w:r w:rsidDel="00000000" w:rsidR="00000000" w:rsidRPr="00000000">
              <w:rPr>
                <w:sz w:val="18"/>
                <w:szCs w:val="18"/>
                <w:rtl w:val="0"/>
              </w:rPr>
              <w:t xml:space="preserve">(Team) S64.3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contextualSpacing w:val="0"/>
              <w:rPr>
                <w:sz w:val="18"/>
                <w:szCs w:val="18"/>
              </w:rPr>
            </w:pPr>
            <w:r w:rsidDel="00000000" w:rsidR="00000000" w:rsidRPr="00000000">
              <w:rPr>
                <w:sz w:val="18"/>
                <w:szCs w:val="18"/>
                <w:rtl w:val="0"/>
              </w:rPr>
              <w:t xml:space="preserve">Jeroen Brugmans, Chiel Sprangers, Cas van Glabbeek, Pim Janissen, Jeroen Janssen, Maikel Weesenaar</w:t>
            </w:r>
          </w:p>
        </w:tc>
      </w:tr>
    </w:tbl>
    <w:p w:rsidR="00000000" w:rsidDel="00000000" w:rsidP="00000000" w:rsidRDefault="00000000" w:rsidRPr="00000000" w14:paraId="0000003C">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s20sxzh1t1vj">
            <w:r w:rsidDel="00000000" w:rsidR="00000000" w:rsidRPr="00000000">
              <w:rPr>
                <w:b w:val="1"/>
                <w:rtl w:val="0"/>
              </w:rPr>
              <w:t xml:space="preserve">Samenvatting</w:t>
            </w:r>
          </w:hyperlink>
          <w:r w:rsidDel="00000000" w:rsidR="00000000" w:rsidRPr="00000000">
            <w:rPr>
              <w:b w:val="1"/>
              <w:rtl w:val="0"/>
            </w:rPr>
            <w:tab/>
          </w:r>
          <w:r w:rsidDel="00000000" w:rsidR="00000000" w:rsidRPr="00000000">
            <w:fldChar w:fldCharType="begin"/>
            <w:instrText xml:space="preserve"> PAGEREF _s20sxzh1t1vj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after="80" w:before="200" w:line="240" w:lineRule="auto"/>
            <w:ind w:left="0" w:firstLine="0"/>
            <w:contextualSpacing w:val="0"/>
            <w:rPr/>
          </w:pPr>
          <w:hyperlink w:anchor="_sg6cjfyby9r4">
            <w:r w:rsidDel="00000000" w:rsidR="00000000" w:rsidRPr="00000000">
              <w:rPr>
                <w:b w:val="1"/>
                <w:rtl w:val="0"/>
              </w:rPr>
              <w:t xml:space="preserve">Rest Interface</w:t>
            </w:r>
          </w:hyperlink>
          <w:r w:rsidDel="00000000" w:rsidR="00000000" w:rsidRPr="00000000">
            <w:rPr>
              <w:b w:val="1"/>
              <w:rtl w:val="0"/>
            </w:rPr>
            <w:tab/>
          </w:r>
          <w:r w:rsidDel="00000000" w:rsidR="00000000" w:rsidRPr="00000000">
            <w:fldChar w:fldCharType="begin"/>
            <w:instrText xml:space="preserve"> PAGEREF _sg6cjfyby9r4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contextualSpacing w:val="0"/>
        <w:rPr/>
      </w:pPr>
      <w:bookmarkStart w:colFirst="0" w:colLast="0" w:name="_s20sxzh1t1vj" w:id="0"/>
      <w:bookmarkEnd w:id="0"/>
      <w:r w:rsidDel="00000000" w:rsidR="00000000" w:rsidRPr="00000000">
        <w:rPr>
          <w:rtl w:val="0"/>
        </w:rPr>
        <w:t xml:space="preserve">Samenvatting</w:t>
      </w:r>
    </w:p>
    <w:p w:rsidR="00000000" w:rsidDel="00000000" w:rsidP="00000000" w:rsidRDefault="00000000" w:rsidRPr="00000000" w14:paraId="00000042">
      <w:pPr>
        <w:contextualSpacing w:val="0"/>
        <w:rPr/>
      </w:pPr>
      <w:r w:rsidDel="00000000" w:rsidR="00000000" w:rsidRPr="00000000">
        <w:rPr>
          <w:rtl w:val="0"/>
        </w:rPr>
        <w:t xml:space="preserve">Dit Document geeft een overzicht van het QuizApp programma dat gemaakt is om de Ordunia app te ondersteunen. Het QuizApp programma biedt een REST interface aan waar de Ordunia app vragen en antwoorden op die vragen kan ophalen om te gebruiken als trainingsmateriaal voor de medewerkers van de afdeling JTech bij Ordina.  </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contextualSpacing w:val="0"/>
        <w:rPr/>
      </w:pPr>
      <w:bookmarkStart w:colFirst="0" w:colLast="0" w:name="_sg6cjfyby9r4" w:id="1"/>
      <w:bookmarkEnd w:id="1"/>
      <w:r w:rsidDel="00000000" w:rsidR="00000000" w:rsidRPr="00000000">
        <w:rPr>
          <w:rtl w:val="0"/>
        </w:rPr>
        <w:t xml:space="preserve">Rest Interface</w:t>
      </w:r>
    </w:p>
    <w:p w:rsidR="00000000" w:rsidDel="00000000" w:rsidP="00000000" w:rsidRDefault="00000000" w:rsidRPr="00000000" w14:paraId="00000044">
      <w:pPr>
        <w:contextualSpacing w:val="0"/>
        <w:rPr/>
      </w:pPr>
      <w:r w:rsidDel="00000000" w:rsidR="00000000" w:rsidRPr="00000000">
        <w:rPr>
          <w:rtl w:val="0"/>
        </w:rPr>
        <w:t xml:space="preserve">De QuizApp biedt een REST interface aan die gebruik maakt van JSON voor de volgende zaken:</w:t>
      </w:r>
    </w:p>
    <w:p w:rsidR="00000000" w:rsidDel="00000000" w:rsidP="00000000" w:rsidRDefault="00000000" w:rsidRPr="00000000" w14:paraId="00000045">
      <w:pPr>
        <w:contextualSpacing w:val="0"/>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825"/>
        <w:gridCol w:w="3825"/>
        <w:gridCol w:w="3629"/>
        <w:tblGridChange w:id="0">
          <w:tblGrid>
            <w:gridCol w:w="750"/>
            <w:gridCol w:w="825"/>
            <w:gridCol w:w="3825"/>
            <w:gridCol w:w="36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RG1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/getQuestion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contextualSpacing w:val="0"/>
              <w:rPr/>
            </w:pPr>
            <w:r w:rsidDel="00000000" w:rsidR="00000000" w:rsidRPr="00000000">
              <w:rPr>
                <w:rtl w:val="0"/>
              </w:rPr>
              <w:t xml:space="preserve">Een GET request om een vraag op te halen met multiple choice antwoorden en het gewicht van die vraag.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RG2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/getQuestions/10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contextualSpacing w:val="0"/>
              <w:rPr/>
            </w:pPr>
            <w:r w:rsidDel="00000000" w:rsidR="00000000" w:rsidRPr="00000000">
              <w:rPr>
                <w:rtl w:val="0"/>
              </w:rPr>
              <w:t xml:space="preserve">Een GET request om meerdere vragen op te halen met multiple choice antwoorden en het gewicht van de vraag.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RP1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isAnswerCorrect/{questionid}/{answer}/{publickey}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contextualSpacing w:val="0"/>
              <w:rPr/>
            </w:pPr>
            <w:r w:rsidDel="00000000" w:rsidR="00000000" w:rsidRPr="00000000">
              <w:rPr>
                <w:rtl w:val="0"/>
              </w:rPr>
              <w:t xml:space="preserve">Een POST request om een vraag met een gekozen antwoord naartoe te sturen.</w:t>
            </w:r>
          </w:p>
        </w:tc>
      </w:tr>
    </w:tbl>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b w:val="1"/>
        </w:rPr>
      </w:pPr>
      <w:r w:rsidDel="00000000" w:rsidR="00000000" w:rsidRPr="00000000">
        <w:rPr>
          <w:b w:val="1"/>
          <w:rtl w:val="0"/>
        </w:rPr>
        <w:t xml:space="preserve">RG1</w:t>
      </w:r>
    </w:p>
    <w:p w:rsidR="00000000" w:rsidDel="00000000" w:rsidP="00000000" w:rsidRDefault="00000000" w:rsidRPr="00000000" w14:paraId="00000058">
      <w:pPr>
        <w:contextualSpacing w:val="0"/>
        <w:rPr/>
      </w:pPr>
      <w:r w:rsidDel="00000000" w:rsidR="00000000" w:rsidRPr="00000000">
        <w:rPr>
          <w:rtl w:val="0"/>
        </w:rPr>
        <w:t xml:space="preserve">RG1 maakt gebruik van een GET request, de JSON die teruggestuurd wordt ziet er als volgt uit.</w:t>
        <w:br w:type="textWrapping"/>
        <w:t xml:space="preserve">De mogelijke antwoorden worden geïdentificeerd op basis van volgorde. Zo kan antwoord “a” in het voorbeeld geselecteerd worden met de waarde 0 en “b” met de waarde 1.</w:t>
      </w:r>
    </w:p>
    <w:tbl>
      <w:tblPr>
        <w:tblStyle w:val="Table6"/>
        <w:jc w:val="left"/>
        <w:tblInd w:w="100.0" w:type="pct"/>
        <w:tblLayout w:type="fixed"/>
        <w:tblLook w:val="06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22,</w:t>
            </w: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"After C comes...",</w:t>
            </w: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20,</w:t>
            </w: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"answers"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"text24"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"B",</w:t>
            </w: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"text25"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"C",</w:t>
            </w: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"text26"</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"text23"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"D"</w:t>
            </w: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r w:rsidDel="00000000" w:rsidR="00000000" w:rsidRPr="00000000">
              <w:rPr>
                <w:rtl w:val="0"/>
              </w:rPr>
            </w:r>
          </w:p>
        </w:tc>
      </w:tr>
    </w:tbl>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RG2</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RG2 is een GET request waarmee meerdere vragen opgehaald kunnen worden. Zo kunnen vragen makkelijker gecached worden.</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"question1"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5,</w:t>
            </w: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"5x5=",</w:t>
            </w: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200,</w:t>
            </w: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"answers"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"50",</w:t>
            </w: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"text6"</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"25",</w:t>
            </w: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"75"</w:t>
            </w: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"question2"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"1+1=",</w:t>
            </w: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100,</w:t>
            </w: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"answers"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"2",</w:t>
            </w: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"3",</w:t>
            </w: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"text4"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"4"</w:t>
            </w: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tc>
      </w:tr>
    </w:tbl>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RP1</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RP1 maakt gebruik van een POST request om antwoorden te controleren.</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In de URL staat het nummer van de vraag, samen met het gekozen antwoord. De public key van de gebruiker wordt gebruikt om de gebruiker te belonen als het antwoord juist is.</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POST</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contextualSpacing w:val="0"/>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085">
      <w:pPr>
        <w:widowControl w:val="0"/>
        <w:contextualSpacing w:val="0"/>
        <w:rPr/>
      </w:pPr>
      <w:r w:rsidDel="00000000" w:rsidR="00000000" w:rsidRPr="00000000">
        <w:rPr>
          <w:rtl w:val="0"/>
        </w:rPr>
      </w:r>
    </w:p>
    <w:p w:rsidR="00000000" w:rsidDel="00000000" w:rsidP="00000000" w:rsidRDefault="00000000" w:rsidRPr="00000000" w14:paraId="00000086">
      <w:pPr>
        <w:widowControl w:val="0"/>
        <w:contextualSpacing w:val="0"/>
        <w:rPr/>
      </w:pPr>
      <w:r w:rsidDel="00000000" w:rsidR="00000000" w:rsidRPr="00000000">
        <w:rPr>
          <w:rtl w:val="0"/>
        </w:rPr>
        <w:t xml:space="preserve">Bij het controleren van het antwoord dient de server bij te houden of de vraag al gecontroleerd is, zodat niet gegokt kan worden met ieder antwoord.</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In het antwoord wordt het juiste antwoord teruggestuurd. Zo kan bij foute antwoorden het antwoord getoond kan worden. Indien het antwoord juist is wordt er een versleutelde transactie meegeleverd dat gebruikt kan worden om de beloning te claimen. De gebruiker dient deze zelf op de blockchain te plaatsen.</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REPLY</w:t>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12,</w:t>
            </w: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"correct"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"correctAnswer"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2,</w:t>
            </w:r>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"secret"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"afcbcedabcdadbecabedaabcbdeabcbbedabbadbcbadebadcbbfffaabc"</w:t>
            </w: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tc>
      </w:tr>
    </w:tbl>
    <w:p w:rsidR="00000000" w:rsidDel="00000000" w:rsidP="00000000" w:rsidRDefault="00000000" w:rsidRPr="00000000" w14:paraId="00000090">
      <w:pPr>
        <w:contextualSpacing w:val="0"/>
        <w:rPr/>
      </w:pPr>
      <w:r w:rsidDel="00000000" w:rsidR="00000000" w:rsidRPr="00000000">
        <w:rPr>
          <w:rtl w:val="0"/>
        </w:rPr>
      </w:r>
    </w:p>
    <w:sectPr>
      <w:headerReference r:id="rId6" w:type="default"/>
      <w:headerReference r:id="rId7" w:type="first"/>
      <w:footerReference r:id="rId8" w:type="default"/>
      <w:footerReference r:id="rId9" w:type="first"/>
      <w:pgSz w:h="16834" w:w="11909"/>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tillium Web">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contextualSpacing w:val="0"/>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contextualSpacing w:val="0"/>
      <w:rPr/>
    </w:pPr>
    <w:r w:rsidDel="00000000" w:rsidR="00000000" w:rsidRPr="00000000">
      <w:rPr>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-57149</wp:posOffset>
          </wp:positionH>
          <wp:positionV relativeFrom="paragraph">
            <wp:posOffset>19050</wp:posOffset>
          </wp:positionV>
          <wp:extent cx="2195513" cy="484419"/>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
                  <a:srcRect b="26061" l="0" r="0" t="26061"/>
                  <a:stretch>
                    <a:fillRect/>
                  </a:stretch>
                </pic:blipFill>
                <pic:spPr>
                  <a:xfrm>
                    <a:off x="0" y="0"/>
                    <a:ext cx="2195513" cy="484419"/>
                  </a:xfrm>
                  <a:prstGeom prst="rect"/>
                  <a:ln/>
                </pic:spPr>
              </pic:pic>
            </a:graphicData>
          </a:graphic>
        </wp:anchor>
      </w:drawing>
    </w:r>
  </w:p>
  <w:p w:rsidR="00000000" w:rsidDel="00000000" w:rsidP="00000000" w:rsidRDefault="00000000" w:rsidRPr="00000000" w14:paraId="00000095">
    <w:pPr>
      <w:contextualSpacing w:val="0"/>
      <w:jc w:val="right"/>
      <w:rPr>
        <w:rFonts w:ascii="Titillium Web" w:cs="Titillium Web" w:eastAsia="Titillium Web" w:hAnsi="Titillium Web"/>
        <w:color w:val="999999"/>
        <w:sz w:val="36"/>
        <w:szCs w:val="36"/>
      </w:rPr>
    </w:pPr>
    <w:r w:rsidDel="00000000" w:rsidR="00000000" w:rsidRPr="00000000">
      <w:rPr>
        <w:rFonts w:ascii="Titillium Web" w:cs="Titillium Web" w:eastAsia="Titillium Web" w:hAnsi="Titillium Web"/>
        <w:color w:val="999999"/>
        <w:sz w:val="36"/>
        <w:szCs w:val="36"/>
        <w:rtl w:val="0"/>
      </w:rPr>
      <w:t xml:space="preserve">ICT voor mensen</w:t>
    </w:r>
  </w:p>
  <w:p w:rsidR="00000000" w:rsidDel="00000000" w:rsidP="00000000" w:rsidRDefault="00000000" w:rsidRPr="00000000" w14:paraId="00000096">
    <w:pPr>
      <w:contextualSpacing w:val="0"/>
      <w:jc w:val="right"/>
      <w:rPr/>
    </w:pPr>
    <w:r w:rsidDel="00000000" w:rsidR="00000000" w:rsidRPr="00000000">
      <w:rPr>
        <w:rFonts w:ascii="Titillium Web" w:cs="Titillium Web" w:eastAsia="Titillium Web" w:hAnsi="Titillium Web"/>
        <w:color w:val="e88506"/>
        <w:sz w:val="24"/>
        <w:szCs w:val="24"/>
        <w:rtl w:val="0"/>
      </w:rPr>
      <w:t xml:space="preserve">09-04-2018</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-571499</wp:posOffset>
          </wp:positionH>
          <wp:positionV relativeFrom="paragraph">
            <wp:posOffset>304800</wp:posOffset>
          </wp:positionV>
          <wp:extent cx="6877050" cy="9458325"/>
          <wp:effectExtent b="0" l="0" r="0" t="0"/>
          <wp:wrapSquare wrapText="bothSides" distB="0" distT="0" distL="0" distR="0"/>
          <wp:docPr id="2"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6877050" cy="9458325"/>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-685799</wp:posOffset>
              </wp:positionH>
              <wp:positionV relativeFrom="paragraph">
                <wp:posOffset>6810375</wp:posOffset>
              </wp:positionV>
              <wp:extent cx="4238625" cy="840088"/>
              <wp:effectExtent b="0" l="0" r="0" t="0"/>
              <wp:wrapSquare wrapText="bothSides" distB="114300" distT="114300" distL="114300" distR="114300"/>
              <wp:docPr id="1" name=""/>
              <a:graphic>
                <a:graphicData uri="http://schemas.microsoft.com/office/word/2010/wordprocessingShape">
                  <wps:wsp>
                    <wps:cNvSpPr txBox="1"/>
                    <wps:cNvPr id="2" name="Shape 2"/>
                    <wps:spPr>
                      <a:xfrm>
                        <a:off x="0" y="0"/>
                        <a:ext cx="4219500" cy="828600"/>
                      </a:xfrm>
                      <a:prstGeom prst="rect">
                        <a:avLst/>
                      </a:prstGeom>
                      <a:solidFill>
                        <a:srgbClr val="E88506"/>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tillium Web" w:cs="Titillium Web" w:eastAsia="Titillium Web" w:hAnsi="Titillium Web"/>
                              <w:b w:val="0"/>
                              <w:i w:val="0"/>
                              <w:smallCaps w:val="0"/>
                              <w:strike w:val="0"/>
                              <w:color w:val="ffffff"/>
                              <w:sz w:val="48"/>
                              <w:vertAlign w:val="baseline"/>
                            </w:rPr>
                            <w:t xml:space="preserve">De QuizApp </w:t>
                          </w:r>
                          <w:r w:rsidDel="00000000" w:rsidR="00000000" w:rsidRPr="00000000">
                            <w:rPr>
                              <w:rFonts w:ascii="Titillium Web" w:cs="Titillium Web" w:eastAsia="Titillium Web" w:hAnsi="Titillium Web"/>
                              <w:b w:val="0"/>
                              <w:i w:val="0"/>
                              <w:smallCaps w:val="0"/>
                              <w:strike w:val="0"/>
                              <w:color w:val="ffffff"/>
                              <w:sz w:val="28"/>
                              <w:vertAlign w:val="baseline"/>
                            </w:rPr>
                            <w:t xml:space="preserve">v0.1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tillium Web" w:cs="Titillium Web" w:eastAsia="Titillium Web" w:hAnsi="Titillium Web"/>
                              <w:b w:val="0"/>
                              <w:i w:val="0"/>
                              <w:smallCaps w:val="0"/>
                              <w:strike w:val="0"/>
                              <w:color w:val="ffffff"/>
                              <w:sz w:val="28"/>
                              <w:vertAlign w:val="baseline"/>
                            </w:rPr>
                          </w:r>
                          <w:r w:rsidDel="00000000" w:rsidR="00000000" w:rsidRPr="00000000">
                            <w:rPr>
                              <w:rFonts w:ascii="Titillium Web" w:cs="Titillium Web" w:eastAsia="Titillium Web" w:hAnsi="Titillium Web"/>
                              <w:b w:val="0"/>
                              <w:i w:val="0"/>
                              <w:smallCaps w:val="0"/>
                              <w:strike w:val="0"/>
                              <w:color w:val="ffffff"/>
                              <w:sz w:val="28"/>
                              <w:vertAlign w:val="baseline"/>
                            </w:rPr>
                            <w:t xml:space="preserve">Team S64.3 </w:t>
                          </w:r>
                        </w:p>
                      </w:txbxContent>
                    </wps:txbx>
                    <wps:bodyPr anchorCtr="0" anchor="ctr"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-685799</wp:posOffset>
              </wp:positionH>
              <wp:positionV relativeFrom="paragraph">
                <wp:posOffset>6810375</wp:posOffset>
              </wp:positionV>
              <wp:extent cx="4238625" cy="840088"/>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2"/>
                      <a:srcRect/>
                      <a:stretch>
                        <a:fillRect/>
                      </a:stretch>
                    </pic:blipFill>
                    <pic:spPr>
                      <a:xfrm>
                        <a:off x="0" y="0"/>
                        <a:ext cx="4238625" cy="840088"/>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TitilliumWeb-regular.ttf"/><Relationship Id="rId2" Type="http://schemas.openxmlformats.org/officeDocument/2006/relationships/font" Target="fonts/TitilliumWeb-bold.ttf"/><Relationship Id="rId3" Type="http://schemas.openxmlformats.org/officeDocument/2006/relationships/font" Target="fonts/TitilliumWeb-italic.ttf"/><Relationship Id="rId4" Type="http://schemas.openxmlformats.org/officeDocument/2006/relationships/font" Target="fonts/TitilliumWeb-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